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E028EF"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E028EF">
        <w:rPr>
          <w:rFonts w:ascii="DIN Next LT Pro" w:hAnsi="DIN Next LT Pro"/>
          <w:b/>
          <w:color w:val="C00000"/>
          <w:spacing w:val="0"/>
          <w:sz w:val="40"/>
          <w:szCs w:val="40"/>
        </w:rPr>
        <w:t>ChinaPlus. China-Kompetenz für Fortgeschrittene</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Freitag, 08. Mai 2026 - Sonntag, 10.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17034C">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KI-generiert</w:t>
      </w:r>
    </w:p>
    <w:p w14:paraId="100899DE" w14:textId="77777777" w:rsidR="009A22AB" w:rsidRPr="006B6D42" w:rsidRDefault="009A22AB" w:rsidP="006B5183">
      <w:pPr>
        <w:pStyle w:val="06LpBTextkrper1"/>
        <w:tabs>
          <w:tab w:val="clear" w:pos="737"/>
          <w:tab w:val="left" w:pos="1985"/>
        </w:tabs>
        <w:ind w:right="9" w:hanging="567"/>
        <w:rPr>
          <w:color w:val="75B1E0"/>
          <w:spacing w:val="0"/>
          <w:sz w:val="24"/>
        </w:rPr>
        <w:sectPr w:rsidR="009A22AB" w:rsidRPr="006B6D42" w:rsidSect="009A22AB">
          <w:type w:val="continuous"/>
          <w:pgSz w:w="11906" w:h="16838"/>
          <w:pgMar w:top="1418" w:right="1418" w:bottom="567" w:left="1418" w:header="709" w:footer="340" w:gutter="0"/>
          <w:cols w:space="708"/>
          <w:docGrid w:linePitch="360"/>
        </w:sectPr>
      </w:pPr>
    </w:p>
    <w:p w14:paraId="40392FF0" w14:textId="6C36FE61" w:rsidR="00E135C4" w:rsidRPr="00E028EF" w:rsidRDefault="00E135C4" w:rsidP="00E028EF">
      <w:pPr>
        <w:pStyle w:val="06LpBTextkrper1"/>
        <w:pBdr>
          <w:top w:val="single" w:sz="4" w:space="1" w:color="C00000"/>
        </w:pBdr>
        <w:tabs>
          <w:tab w:val="clear" w:pos="737"/>
          <w:tab w:val="left" w:pos="1985"/>
        </w:tabs>
        <w:ind w:left="426" w:right="9"/>
        <w:rPr>
          <w:color w:val="C00000"/>
        </w:rPr>
      </w:pPr>
    </w:p>
    <w:p w14:paraId="6CF0E3CD" w14:textId="39CC431A" w:rsidR="00E135C4" w:rsidRPr="00E028EF" w:rsidRDefault="000466DC" w:rsidP="00961928">
      <w:pPr>
        <w:pStyle w:val="06LpBTextkrper1"/>
        <w:tabs>
          <w:tab w:val="clear" w:pos="737"/>
          <w:tab w:val="left" w:pos="1985"/>
          <w:tab w:val="left" w:pos="7938"/>
        </w:tabs>
        <w:ind w:left="426" w:right="9"/>
        <w:rPr>
          <w:b/>
          <w:bCs/>
          <w:caps/>
          <w:color w:val="C00000"/>
          <w:spacing w:val="0"/>
          <w:szCs w:val="18"/>
          <w:lang w:val="en-US"/>
        </w:rPr>
      </w:pPr>
      <w:r w:rsidRPr="00E028EF">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Der Workshop richtet sich an Teilnehmende mit Vorkenntnissen, die China nicht noch einmal im Überblick behandeln möchten, sondern an konkreten Fällen und Kontroversen arbeiten wollen. Im Mittelpunkt steht China-Kompetenz als Praxis in der politischen Bildung: Wie entstehen Deutungen über China – alarmistisch wie unkritisch-affirmativ? Welche Aussagen sind empirisch belastbar, welche sind Interpretation oder politisches Framing? Und wie lässt sich das beutelsbach-konform so bearbeiten, dass Kontroversität sichtbar wird, ohne in Scheinausgleich oder Überwältigung zu kippen?</w:t>
      </w:r>
    </w:p>
    <w:p>
      <w:pPr/>
      <w:r>
        <w:rPr/>
        <w:t xml:space="preserve">Methodisch verbindet der Workshop Impulse, Fallarbeit und moderierte Diskussionen. Ziel ist ein belastbares, differenziertes China-Bild: nicht „positiv“ oder „negativ“, sondern analytisch, begründet und kontroversitätsfähig. Die Teilnehmenden sollen Debatten über China besser strukturieren, Evidenz von Deutung trennen und komplexe Themen für Bildungskontexte so aufbereiten können, dass Urteilskompetenz gestärkt wird. Wo relevant, werden auch Bezüge zu bilateralen Projekten zwischen Baden-Württemberg und den chinesischen Partnerregionen Liaoning und Jiangsu aufgegriffen, um Chancen, Erwartungen und Zielkonflikte praxisnah zu diskutieren.</w:t>
      </w:r>
    </w:p>
    <w:p/>
    <w:p>
      <w:pPr/>
      <w:r>
        <w:rPr/>
        <w:t xml:space="preserve">-------------------</w:t>
      </w:r>
    </w:p>
    <w:p>
      <w:pPr/>
      <w:r>
        <w:rPr>
          <w:b w:val="1"/>
          <w:bCs w:val="1"/>
        </w:rPr>
        <w:t xml:space="preserve">Ablauf</w:t>
      </w:r>
    </w:p>
    <w:p>
      <w:pPr/>
      <w:r>
        <w:rPr>
          <w:b w:val="1"/>
          <w:bCs w:val="1"/>
        </w:rPr>
        <w:t xml:space="preserve">Freitag, 08. Mai 2026</w:t>
      </w:r>
    </w:p>
    <w:p>
      <w:pPr/>
      <w:r>
        <w:rPr/>
        <w:t xml:space="preserve">14.30 Uhr</w:t>
      </w:r>
    </w:p>
    <w:p/>
    <w:p>
      <w:pPr/>
      <w:r>
        <w:rPr/>
        <w:t xml:space="preserve">Anreise</w:t>
      </w:r>
    </w:p>
    <w:p>
      <w:pPr/>
      <w:r>
        <w:rPr/>
        <w:t xml:space="preserve">15.00 Uhr </w:t>
      </w:r>
    </w:p>
    <w:p/>
    <w:p>
      <w:pPr/>
      <w:r>
        <w:rPr>
          <w:b w:val="1"/>
          <w:bCs w:val="1"/>
        </w:rPr>
        <w:t xml:space="preserve">你好</w:t>
      </w:r>
    </w:p>
    <w:p>
      <w:pPr/>
      <w:r>
        <w:rPr>
          <w:b w:val="1"/>
          <w:bCs w:val="1"/>
        </w:rPr>
        <w:t xml:space="preserve"> Ni hao! </w:t>
      </w:r>
    </w:p>
    <w:p>
      <w:pPr/>
      <w:r>
        <w:rPr>
          <w:b w:val="1"/>
          <w:bCs w:val="1"/>
        </w:rPr>
        <w:t xml:space="preserve">Begrüßung und Einführung</w:t>
      </w:r>
    </w:p>
    <w:p/>
    <w:p>
      <w:pPr/>
      <w:r>
        <w:rPr>
          <w:i w:val="1"/>
          <w:iCs w:val="1"/>
        </w:rPr>
        <w:t xml:space="preserve">Tengiz Dalalishvili (LpB BW), Jochen Schultz (CNBW), Dr. Julia Haes (CIDW)</w:t>
      </w:r>
    </w:p>
    <w:p>
      <w:pPr/>
      <w:r>
        <w:rPr/>
        <w:t xml:space="preserve">15.15 Uhr</w:t>
      </w:r>
    </w:p>
    <w:p/>
    <w:p>
      <w:pPr/>
      <w:r>
        <w:rPr>
          <w:b w:val="1"/>
          <w:bCs w:val="1"/>
        </w:rPr>
        <w:t xml:space="preserve">China in der politischen Bildung</w:t>
      </w:r>
    </w:p>
    <w:p/>
    <w:p>
      <w:pPr/>
      <w:r>
        <w:rPr/>
        <w:t xml:space="preserve">Beutelsbacher Konsens als Werkzeugkasten</w:t>
      </w:r>
    </w:p>
    <w:p/>
    <w:p>
      <w:pPr/>
      <w:r>
        <w:rPr>
          <w:i w:val="1"/>
          <w:iCs w:val="1"/>
        </w:rPr>
        <w:t xml:space="preserve">Dr. Matthias Niedenführ (Zeppelin Universität)</w:t>
      </w:r>
    </w:p>
    <w:p>
      <w:pPr/>
      <w:r>
        <w:rPr/>
        <w:t xml:space="preserve">16.15 Uhr</w:t>
      </w:r>
    </w:p>
    <w:p/>
    <w:p>
      <w:pPr/>
      <w:r>
        <w:rPr/>
        <w:t xml:space="preserve">Kaffeepause</w:t>
      </w:r>
    </w:p>
    <w:p>
      <w:pPr/>
      <w:r>
        <w:rPr/>
        <w:t xml:space="preserve">16:30 Uhr</w:t>
      </w:r>
    </w:p>
    <w:p/>
    <w:p>
      <w:pPr/>
      <w:r>
        <w:rPr>
          <w:b w:val="1"/>
          <w:bCs w:val="1"/>
        </w:rPr>
        <w:t xml:space="preserve">Transfer: Von der Zuspitzung zur Einordnung. </w:t>
      </w:r>
    </w:p>
    <w:p/>
    <w:p>
      <w:pPr/>
      <w:r>
        <w:rPr/>
        <w:t xml:space="preserve">Berichte aus den Arbeitsgruppen</w:t>
      </w:r>
    </w:p>
    <w:p/>
    <w:p>
      <w:pPr/>
      <w:r>
        <w:rPr/>
        <w:t xml:space="preserve">Diskussion im Plenum</w:t>
      </w:r>
    </w:p>
    <w:p>
      <w:pPr/>
      <w:r>
        <w:rPr/>
        <w:t xml:space="preserve">18.00 Uhr</w:t>
      </w:r>
    </w:p>
    <w:p/>
    <w:p>
      <w:pPr/>
      <w:r>
        <w:rPr/>
        <w:t xml:space="preserve">Abendessen</w:t>
      </w:r>
    </w:p>
    <w:p>
      <w:pPr/>
      <w:r>
        <w:rPr/>
        <w:t xml:space="preserve">19.00 Uhr</w:t>
      </w:r>
    </w:p>
    <w:p/>
    <w:p>
      <w:pPr/>
      <w:r>
        <w:rPr>
          <w:b w:val="1"/>
          <w:bCs w:val="1"/>
        </w:rPr>
        <w:t xml:space="preserve">Abendgespräch: </w:t>
      </w:r>
    </w:p>
    <w:p>
      <w:pPr/>
      <w:r>
        <w:rPr>
          <w:b w:val="1"/>
          <w:bCs w:val="1"/>
        </w:rPr>
        <w:t xml:space="preserve">Zwischen Vergangenheit und Moderne</w:t>
      </w:r>
    </w:p>
    <w:p/>
    <w:p>
      <w:pPr/>
      <w:r>
        <w:rPr/>
        <w:t xml:space="preserve">Ideologie, Erinnerungskultur und Geschichtspolitik in China</w:t>
      </w:r>
    </w:p>
    <w:p/>
    <w:p>
      <w:pPr/>
      <w:r>
        <w:rPr>
          <w:i w:val="1"/>
          <w:iCs w:val="1"/>
        </w:rPr>
        <w:t xml:space="preserve">Prof. Dr. Klaus Mühlhahn (FU Berlin)</w:t>
      </w:r>
    </w:p>
    <w:p/>
    <w:p>
      <w:pPr/>
      <w:r>
        <w:rPr>
          <w:b w:val="1"/>
          <w:bCs w:val="1"/>
        </w:rPr>
        <w:t xml:space="preserve">Samstag, 09. Mai 2026</w:t>
      </w:r>
    </w:p>
    <w:p>
      <w:pPr/>
      <w:r>
        <w:rPr/>
        <w:t xml:space="preserve">8.00 Uhr</w:t>
      </w:r>
    </w:p>
    <w:p/>
    <w:p>
      <w:pPr/>
      <w:r>
        <w:rPr/>
        <w:t xml:space="preserve">Frühstück</w:t>
      </w:r>
    </w:p>
    <w:p>
      <w:pPr/>
      <w:r>
        <w:rPr/>
        <w:t xml:space="preserve">9.00 Uhr</w:t>
      </w:r>
    </w:p>
    <w:p/>
    <w:p>
      <w:pPr/>
      <w:r>
        <w:rPr>
          <w:b w:val="1"/>
          <w:bCs w:val="1"/>
        </w:rPr>
        <w:t xml:space="preserve">China, Europa und Weltordnung 2035</w:t>
      </w:r>
    </w:p>
    <w:p/>
    <w:p>
      <w:pPr/>
      <w:r>
        <w:rPr/>
        <w:t xml:space="preserve">Die 6 Szenarien für internationale Machtkonfiguration</w:t>
      </w:r>
    </w:p>
    <w:p/>
    <w:p>
      <w:pPr/>
      <w:r>
        <w:rPr>
          <w:i w:val="1"/>
          <w:iCs w:val="1"/>
        </w:rPr>
        <w:t xml:space="preserve">Felix Lee (SZ Dossier)</w:t>
      </w:r>
    </w:p>
    <w:p>
      <w:pPr/>
      <w:r>
        <w:rPr/>
        <w:t xml:space="preserve">10.00 Uhr</w:t>
      </w:r>
    </w:p>
    <w:p/>
    <w:p>
      <w:pPr/>
      <w:r>
        <w:rPr/>
        <w:t xml:space="preserve">Kaffeep</w:t>
      </w:r>
    </w:p>
    <w:p>
      <w:pPr/>
      <w:r>
        <w:rPr/>
        <w:t xml:space="preserve">ause</w:t>
      </w:r>
    </w:p>
    <w:p>
      <w:pPr/>
      <w:r>
        <w:rPr/>
        <w:t xml:space="preserve">10:30 Uhr </w:t>
      </w:r>
    </w:p>
    <w:p/>
    <w:p>
      <w:pPr/>
      <w:r>
        <w:rPr>
          <w:b w:val="1"/>
          <w:bCs w:val="1"/>
        </w:rPr>
        <w:t xml:space="preserve">Transfer: 6 Szenarien, ein Europa? Dilemmata und Handlungsoptionen</w:t>
      </w:r>
    </w:p>
    <w:p/>
    <w:p>
      <w:pPr/>
      <w:r>
        <w:rPr/>
        <w:t xml:space="preserve">Berichte aus den Arbeitsgruppen</w:t>
      </w:r>
    </w:p>
    <w:p/>
    <w:p>
      <w:pPr/>
      <w:r>
        <w:rPr/>
        <w:t xml:space="preserve">Diskussion im Plenum</w:t>
      </w:r>
    </w:p>
    <w:p>
      <w:pPr/>
      <w:r>
        <w:rPr/>
        <w:t xml:space="preserve">12.00 Uhr</w:t>
      </w:r>
    </w:p>
    <w:p/>
    <w:p>
      <w:pPr/>
      <w:r>
        <w:rPr/>
        <w:t xml:space="preserve">Mittagessen</w:t>
      </w:r>
    </w:p>
    <w:p>
      <w:pPr/>
      <w:r>
        <w:rPr/>
        <w:t xml:space="preserve">13.00 Uhr</w:t>
      </w:r>
    </w:p>
    <w:p/>
    <w:p>
      <w:pPr/>
      <w:r>
        <w:rPr>
          <w:b w:val="1"/>
          <w:bCs w:val="1"/>
        </w:rPr>
        <w:t xml:space="preserve">Geoökonomie der grünen Transformation</w:t>
      </w:r>
    </w:p>
    <w:p/>
    <w:p>
      <w:pPr/>
      <w:r>
        <w:rPr/>
        <w:t xml:space="preserve">E-Mobilität und Industriepolitik zwischen Klimaziel und Economic Security </w:t>
      </w:r>
    </w:p>
    <w:p/>
    <w:p>
      <w:pPr/>
      <w:r>
        <w:rPr>
          <w:i w:val="1"/>
          <w:iCs w:val="1"/>
        </w:rPr>
        <w:t xml:space="preserve">Dr. Peter Schaumann (CNBW)</w:t>
      </w:r>
    </w:p>
    <w:p>
      <w:pPr/>
      <w:r>
        <w:rPr/>
        <w:t xml:space="preserve">14.00 Uhr</w:t>
      </w:r>
    </w:p>
    <w:p/>
    <w:p>
      <w:pPr/>
      <w:r>
        <w:rPr>
          <w:b w:val="1"/>
          <w:bCs w:val="1"/>
        </w:rPr>
        <w:t xml:space="preserve">Transfer: </w:t>
      </w:r>
    </w:p>
    <w:p>
      <w:pPr/>
      <w:r>
        <w:rPr>
          <w:b w:val="1"/>
          <w:bCs w:val="1"/>
        </w:rPr>
        <w:t xml:space="preserve">De-Risking unter Zielkonflikten</w:t>
      </w:r>
    </w:p>
    <w:p/>
    <w:p>
      <w:pPr/>
      <w:r>
        <w:rPr/>
        <w:t xml:space="preserve">Berichte aus den Arbeitsgruppen</w:t>
      </w:r>
    </w:p>
    <w:p/>
    <w:p>
      <w:pPr/>
      <w:r>
        <w:rPr/>
        <w:t xml:space="preserve">Diskussion im Plenum</w:t>
      </w:r>
    </w:p>
    <w:p>
      <w:pPr/>
      <w:r>
        <w:rPr/>
        <w:t xml:space="preserve">15.30 Uhr</w:t>
      </w:r>
    </w:p>
    <w:p/>
    <w:p>
      <w:pPr/>
      <w:r>
        <w:rPr/>
        <w:t xml:space="preserve">Kaffeepause</w:t>
      </w:r>
    </w:p>
    <w:p>
      <w:pPr/>
      <w:r>
        <w:rPr/>
        <w:t xml:space="preserve">16.00 Uhr</w:t>
      </w:r>
    </w:p>
    <w:p/>
    <w:p>
      <w:pPr/>
      <w:r>
        <w:rPr>
          <w:b w:val="1"/>
          <w:bCs w:val="1"/>
        </w:rPr>
        <w:t xml:space="preserve">Chinas digitale Staatlichkeit</w:t>
      </w:r>
    </w:p>
    <w:p/>
    <w:p>
      <w:pPr/>
      <w:r>
        <w:rPr/>
        <w:t xml:space="preserve">Plattformen, FinTech und KI-Governance zwischen Innovation und digitale Kontrolle</w:t>
      </w:r>
    </w:p>
    <w:p/>
    <w:p>
      <w:pPr/>
      <w:r>
        <w:rPr>
          <w:i w:val="1"/>
          <w:iCs w:val="1"/>
        </w:rPr>
        <w:t xml:space="preserve">Dr. Phil. Jens Damm (Uni Tübingen)</w:t>
      </w:r>
    </w:p>
    <w:p>
      <w:pPr/>
      <w:r>
        <w:rPr/>
        <w:t xml:space="preserve">17.00 Uhr </w:t>
      </w:r>
    </w:p>
    <w:p/>
    <w:p>
      <w:pPr/>
      <w:r>
        <w:rPr>
          <w:b w:val="1"/>
          <w:bCs w:val="1"/>
        </w:rPr>
        <w:t xml:space="preserve">Transfer: KI-Check &amp; Governance-Matrix</w:t>
      </w:r>
    </w:p>
    <w:p/>
    <w:p>
      <w:pPr/>
      <w:r>
        <w:rPr/>
        <w:t xml:space="preserve">Berichte aus den Arbeitsgruppen</w:t>
      </w:r>
    </w:p>
    <w:p/>
    <w:p>
      <w:pPr/>
      <w:r>
        <w:rPr/>
        <w:t xml:space="preserve">Diskussion im Plenum</w:t>
      </w:r>
    </w:p>
    <w:p>
      <w:pPr/>
      <w:r>
        <w:rPr/>
        <w:t xml:space="preserve">18.00 Uhr</w:t>
      </w:r>
    </w:p>
    <w:p/>
    <w:p>
      <w:pPr/>
      <w:r>
        <w:rPr/>
        <w:t xml:space="preserve">Abendessen</w:t>
      </w:r>
    </w:p>
    <w:p>
      <w:pPr/>
      <w:r>
        <w:rPr>
          <w:i w:val="1"/>
          <w:iCs w:val="1"/>
        </w:rPr>
        <w:t xml:space="preserve"> </w:t>
      </w:r>
    </w:p>
    <w:p>
      <w:pPr/>
    </w:p>
    <w:p>
      <w:pPr/>
      <w:r>
        <w:rPr>
          <w:b w:val="1"/>
          <w:bCs w:val="1"/>
        </w:rPr>
        <w:t xml:space="preserve">Sonntag, 10. Mai 2026</w:t>
      </w:r>
    </w:p>
    <w:p>
      <w:pPr/>
      <w:r>
        <w:rPr/>
        <w:t xml:space="preserve">8.00 Uhr </w:t>
      </w:r>
    </w:p>
    <w:p/>
    <w:p>
      <w:pPr/>
      <w:r>
        <w:rPr/>
        <w:t xml:space="preserve">Frühstück und Zimmer räumen</w:t>
      </w:r>
    </w:p>
    <w:p>
      <w:pPr/>
      <w:r>
        <w:rPr/>
        <w:t xml:space="preserve">9.00 Uhr</w:t>
      </w:r>
    </w:p>
    <w:p/>
    <w:p>
      <w:pPr/>
      <w:r>
        <w:rPr>
          <w:b w:val="1"/>
          <w:bCs w:val="1"/>
        </w:rPr>
        <w:t xml:space="preserve">12 Jahre Schule, ein Test. </w:t>
      </w:r>
    </w:p>
    <w:p/>
    <w:p>
      <w:pPr/>
      <w:r>
        <w:rPr/>
        <w:t xml:space="preserve">Chinas Bildungssystem – von der Schule über Gaokao bis Hochschule</w:t>
      </w:r>
    </w:p>
    <w:p/>
    <w:p>
      <w:pPr/>
      <w:r>
        <w:rPr>
          <w:i w:val="1"/>
          <w:iCs w:val="1"/>
        </w:rPr>
        <w:t xml:space="preserve">Carmen Eisenhauer (Freie Referent:in), Jonas Schmid (China-Schulakademie Heidelberg)</w:t>
      </w:r>
    </w:p>
    <w:p>
      <w:pPr/>
      <w:r>
        <w:rPr/>
        <w:t xml:space="preserve">10.30 Uhr </w:t>
      </w:r>
    </w:p>
    <w:p/>
    <w:p>
      <w:pPr/>
      <w:r>
        <w:rPr/>
        <w:t xml:space="preserve">Kaffepause</w:t>
      </w:r>
    </w:p>
    <w:p>
      <w:pPr/>
      <w:r>
        <w:rPr/>
        <w:t xml:space="preserve">11.00 Uhr</w:t>
      </w:r>
    </w:p>
    <w:p/>
    <w:p>
      <w:pPr/>
      <w:r>
        <w:rPr>
          <w:b w:val="1"/>
          <w:bCs w:val="1"/>
        </w:rPr>
        <w:t xml:space="preserve">China und Baden-Württemberg: Herausforderungen und Perspektiven</w:t>
      </w:r>
    </w:p>
    <w:p>
      <w:pPr/>
      <w:r>
        <w:rPr/>
        <w:t xml:space="preserve"> </w:t>
      </w:r>
    </w:p>
    <w:p/>
    <w:p>
      <w:pPr/>
      <w:r>
        <w:rPr>
          <w:i w:val="1"/>
          <w:iCs w:val="1"/>
        </w:rPr>
        <w:t xml:space="preserve">Verena Zimmer</w:t>
      </w:r>
    </w:p>
    <w:p>
      <w:pPr/>
      <w:r>
        <w:rPr/>
        <w:t xml:space="preserve">12.00 Uhr</w:t>
      </w:r>
    </w:p>
    <w:p/>
    <w:p>
      <w:pPr/>
      <w:r>
        <w:rPr/>
        <w:t xml:space="preserve">Mittagessen</w:t>
      </w:r>
    </w:p>
    <w:p>
      <w:pPr/>
      <w:r>
        <w:rPr/>
        <w:t xml:space="preserve">13.00 Uhr</w:t>
      </w:r>
    </w:p>
    <w:p/>
    <w:p>
      <w:pPr/>
      <w:r>
        <w:rPr/>
        <w:t xml:space="preserve">Seminarende, Abreise</w:t>
      </w:r>
    </w:p>
    <w:p>
      <w:pPr/>
      <w:r>
        <w:rPr/>
        <w:t xml:space="preserve"> </w:t>
      </w:r>
    </w:p>
    <w:p>
      <w:pPr/>
      <w:r>
        <w:rPr/>
        <w:t xml:space="preserve">* </w:t>
      </w:r>
    </w:p>
    <w:p>
      <w:pPr/>
      <w:r>
        <w:rPr>
          <w:i w:val="1"/>
          <w:iCs w:val="1"/>
        </w:rPr>
        <w:t xml:space="preserve">Änderungen vorbehalten</w:t>
      </w:r>
    </w:p>
    <w:p>
      <w:pPr/>
      <w:r>
        <w:rPr>
          <w:i w:val="1"/>
          <w:iCs w:val="1"/>
        </w:rPr>
        <w:t xml:space="preserve"> </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Pr/>
      <w:r>
        <w:rPr/>
        <w:t xml:space="preserve">Inhaltlich werden verschiedene Themenfelder bearbeitet: Politik und Weltordnung, Wirtschaft und Geoökonomie, Digitalisierung und KI-Governance sowie Ideologie, politische Kultur und Erinnerungspolitik. Die internationale Einordnung nimmt dabei eine zentrale Rolle ein, insbesondere die Frage nach Europas Position in künftigen Machtkonfigurationen und den daraus folgenden Dilemmata und Handlungsoptionen. Wirtschaftliche Fragen werden nicht als Markt- oder Technikthemen behandelt, sondern als politische Konfliktlinien: grüne Transformation, Industriepolitik, Abhängigkeiten und De-Risking. Der digitale Bereich wird als Governance- und Öffentlichkeitsfrage diskutiert – von FinTech über KI bis zu Regulierung, Informationsräumen und Kontrolle.</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Offen für China-Interessierte.</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E028EF"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E028EF">
        <w:rPr>
          <w:b/>
          <w:bCs/>
          <w:color w:val="C00000"/>
          <w:spacing w:val="0"/>
          <w:szCs w:val="18"/>
        </w:rPr>
        <w:t>Termin:</w:t>
      </w:r>
      <w:r w:rsidR="00816A17" w:rsidRPr="00E028EF">
        <w:rPr>
          <w:b/>
          <w:bCs/>
          <w:color w:val="C00000"/>
          <w:spacing w:val="0"/>
          <w:szCs w:val="18"/>
        </w:rPr>
        <w:br/>
      </w:r>
      <w:r w:rsidRPr="00F9389A">
        <w:rPr>
          <w:spacing w:val="0"/>
          <w:szCs w:val="18"/>
        </w:rPr>
        <w:t>Freitag, 08. Mai 2026, 14:30 Uhr - Sonntag, 10. Mai 2026, 13:00 Uhr</w:t>
      </w:r>
    </w:p>
    <w:p w14:paraId="46C01BBD" w14:textId="77777777" w:rsidR="00036524" w:rsidRPr="00FF33AC" w:rsidRDefault="009810E0" w:rsidP="00737B42">
      <w:pPr>
        <w:pStyle w:val="06LpBTextkrper1"/>
        <w:widowControl w:val="0"/>
        <w:tabs>
          <w:tab w:val="clear" w:pos="737"/>
          <w:tab w:val="left" w:pos="1985"/>
          <w:tab w:val="left" w:pos="2552"/>
          <w:tab w:val="left" w:pos="7938"/>
        </w:tabs>
        <w:ind w:right="11"/>
        <w:rPr>
          <w:b/>
          <w:szCs w:val="18"/>
        </w:rPr>
      </w:pPr>
      <w:r w:rsidRPr="00FF33AC">
        <w:rPr>
          <w:b/>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Dr. phil.   Jens Damm (Uni Tübingen)</w:t>
        <w:br/>
        <w:t>Carmen Eisenhauer (Freie Referentin)</w:t>
        <w:br/>
        <w:t> Dr. Julia Haes (Moderation, CIDW)</w:t>
        <w:br/>
        <w:t>Felix Lee (SZ Dossier)</w:t>
        <w:br/>
        <w:t>Prof. Dr. Klaus Mühlhahn (Freie Universität Berlin)</w:t>
        <w:br/>
        <w:t>Jun. Prof. Dr. Matthias Niedenführ (Zeppelin Universität)</w:t>
        <w:br/>
        <w:t> Dr. Peter Schaumann (CNBW)</w:t>
        <w:br/>
        <w:t>Jonas Schmid, MA (China Schulakademie Heidelberg)</w:t>
        <w:br/>
        <w:t>Verena Zimmer (IHK Stuttgart)</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E028EF">
        <w:rPr>
          <w:b/>
          <w:bCs/>
          <w:color w:val="C00000"/>
          <w:spacing w:val="0"/>
          <w:szCs w:val="18"/>
        </w:rPr>
        <w:t>Leitung:</w:t>
      </w:r>
      <w:r w:rsidR="00816A17" w:rsidRPr="00E028EF">
        <w:rPr>
          <w:b/>
          <w:bCs/>
          <w:color w:val="C00000"/>
          <w:spacing w:val="0"/>
          <w:szCs w:val="18"/>
        </w:rPr>
        <w:br/>
      </w:r>
      <w:r w:rsidRPr="00F9389A">
        <w:rPr>
          <w:spacing w:val="0"/>
          <w:szCs w:val="18"/>
        </w:rPr>
        <w:t>Tengiz Dalalishvili, MA mult. </w:t>
        <w:br/>
        <w:t>Jochen Schultz (CNBW)</w:t>
        <w:br/>
        <w:t/>
      </w:r>
      <w:r w:rsidR="00856A6E">
        <w:rPr>
          <w:spacing w:val="0"/>
          <w:szCs w:val="18"/>
        </w:rPr>
        <w:br/>
      </w:r>
      <w:r w:rsidRPr="00E028EF">
        <w:rPr>
          <w:b/>
          <w:bCs/>
          <w:color w:val="C00000"/>
          <w:spacing w:val="0"/>
          <w:szCs w:val="18"/>
        </w:rPr>
        <w:t>Kontakt:</w:t>
      </w:r>
      <w:r w:rsidR="0032332B" w:rsidRPr="00E028EF">
        <w:rPr>
          <w:b/>
          <w:bCs/>
          <w:color w:val="C00000"/>
          <w:spacing w:val="0"/>
          <w:szCs w:val="18"/>
        </w:rPr>
        <w:br/>
      </w:r>
      <w:r w:rsidRPr="00F9389A">
        <w:rPr>
          <w:spacing w:val="0"/>
          <w:szCs w:val="18"/>
        </w:rPr>
        <w:t>Martina Siegel-Ginzinger, Tel.: 07125-152-148, E-Mail: Martina.Siegel-Ginzinger@lpb.bwl.de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E028EF">
        <w:rPr>
          <w:b/>
          <w:bCs/>
          <w:color w:val="C00000"/>
          <w:spacing w:val="0"/>
          <w:szCs w:val="18"/>
        </w:rPr>
        <w:t>Ort:</w:t>
      </w:r>
      <w:r w:rsidR="0032332B" w:rsidRPr="00E028EF">
        <w:rPr>
          <w:b/>
          <w:bCs/>
          <w:color w:val="C00000"/>
          <w:spacing w:val="0"/>
          <w:szCs w:val="18"/>
        </w:rPr>
        <w:br/>
      </w:r>
      <w:r w:rsidRPr="00F9389A">
        <w:rPr>
          <w:spacing w:val="0"/>
          <w:szCs w:val="18"/>
        </w:rPr>
        <w:t>Tagungszentrum Haus auf der Alb</w:t>
        <w:br/>
        <w:t>Hanner Steige 1</w:t>
        <w:br/>
        <w:t>72574 Bad Urach</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E028EF">
        <w:rPr>
          <w:b/>
          <w:bCs/>
          <w:color w:val="C00000"/>
          <w:spacing w:val="0"/>
          <w:szCs w:val="18"/>
        </w:rPr>
        <w:t>Gebühren:</w:t>
      </w:r>
      <w:r w:rsidR="0032332B" w:rsidRPr="00E028EF">
        <w:rPr>
          <w:b/>
          <w:bCs/>
          <w:color w:val="C00000"/>
          <w:spacing w:val="0"/>
          <w:szCs w:val="18"/>
        </w:rPr>
        <w:br/>
      </w:r>
      <w:r w:rsidRPr="00F9389A">
        <w:rPr>
          <w:spacing w:val="0"/>
          <w:szCs w:val="18"/>
        </w:rPr>
        <w:t>Teilnahmegebühr 110,00 €</w:t>
        <w:br/>
        <w:t>Teilnahmegebühr (Student) 50,00 €</w:t>
        <w:br/>
        <w:t/>
      </w:r>
    </w:p>
    <w:p w14:paraId="14F120B1" w14:textId="77777777" w:rsidR="00D41CDD" w:rsidRPr="00E028EF"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E028EF">
        <w:rPr>
          <w:b/>
          <w:color w:val="C00000"/>
          <w:spacing w:val="0"/>
          <w:szCs w:val="18"/>
        </w:rPr>
        <w:lastRenderedPageBreak/>
        <w:t>Seminar-Nr.:</w:t>
      </w:r>
      <w:r w:rsidR="000C11D1" w:rsidRPr="00E028EF">
        <w:rPr>
          <w:b/>
          <w:color w:val="C00000"/>
          <w:spacing w:val="0"/>
          <w:szCs w:val="18"/>
        </w:rPr>
        <w:tab/>
      </w:r>
      <w:r w:rsidR="000C11D1" w:rsidRPr="00E028EF">
        <w:rPr>
          <w:b/>
          <w:color w:val="C00000"/>
          <w:spacing w:val="0"/>
          <w:szCs w:val="18"/>
        </w:rPr>
        <w:tab/>
      </w:r>
      <w:r w:rsidRPr="00F9389A">
        <w:rPr>
          <w:b/>
          <w:spacing w:val="0"/>
          <w:szCs w:val="18"/>
        </w:rPr>
        <w:t>25/19a-26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E028EF" w:rsidRDefault="00CF2704" w:rsidP="00961928">
      <w:pPr>
        <w:pStyle w:val="06LpBTextkrper1"/>
        <w:tabs>
          <w:tab w:val="clear" w:pos="737"/>
          <w:tab w:val="left" w:pos="1985"/>
          <w:tab w:val="left" w:pos="2552"/>
          <w:tab w:val="left" w:pos="7938"/>
        </w:tabs>
        <w:ind w:left="426" w:right="9"/>
        <w:rPr>
          <w:b/>
          <w:color w:val="C00000"/>
          <w:spacing w:val="0"/>
          <w:szCs w:val="18"/>
        </w:rPr>
      </w:pPr>
      <w:r w:rsidRPr="00E028EF">
        <w:rPr>
          <w:b/>
          <w:color w:val="C00000"/>
          <w:spacing w:val="0"/>
          <w:szCs w:val="18"/>
        </w:rPr>
        <w:t>Zur Anmeldung:</w:t>
      </w:r>
      <w:r w:rsidRPr="00E028EF">
        <w:rPr>
          <w:b/>
          <w:color w:val="C00000"/>
          <w:spacing w:val="0"/>
          <w:szCs w:val="18"/>
        </w:rPr>
        <w:tab/>
      </w:r>
    </w:p>
    <w:p w14:paraId="57B7B686" w14:textId="77777777" w:rsidR="00BC4728" w:rsidRPr="00F9389A" w:rsidRDefault="00BC4728" w:rsidP="00BC4728">
      <w:pPr>
        <w:pStyle w:val="06LpBTextkrper1"/>
        <w:tabs>
          <w:tab w:val="clear" w:pos="737"/>
          <w:tab w:val="left" w:pos="1985"/>
          <w:tab w:val="left" w:pos="2552"/>
          <w:tab w:val="left" w:pos="7938"/>
        </w:tabs>
        <w:ind w:left="426" w:right="9"/>
        <w:rPr>
          <w:b/>
          <w:color w:val="C00000"/>
          <w:spacing w:val="0"/>
          <w:szCs w:val="18"/>
        </w:rPr>
      </w:pPr>
    </w:p>
    <w:p w14:paraId="3DE20D7E" w14:textId="77777777" w:rsidR="00BC4728" w:rsidRPr="00F9389A" w:rsidRDefault="00BC4728" w:rsidP="00BC4728">
      <w:pPr>
        <w:pStyle w:val="06LpBTextkrper1"/>
        <w:tabs>
          <w:tab w:val="clear" w:pos="737"/>
          <w:tab w:val="left" w:pos="1985"/>
          <w:tab w:val="left" w:pos="2552"/>
          <w:tab w:val="left" w:pos="7938"/>
        </w:tabs>
        <w:ind w:left="426" w:right="9"/>
        <w:rPr>
          <w:b/>
          <w:color w:val="C00000"/>
          <w:spacing w:val="0"/>
          <w:szCs w:val="18"/>
        </w:rPr>
      </w:pPr>
    </w:p>
    <w:p w14:paraId="242C7A4F" w14:textId="77777777" w:rsidR="00BC4728" w:rsidRPr="00F9389A" w:rsidRDefault="00BC4728" w:rsidP="00BC4728">
      <w:pPr>
        <w:pStyle w:val="06LpBTextkrper1"/>
        <w:tabs>
          <w:tab w:val="clear" w:pos="737"/>
          <w:tab w:val="left" w:pos="1985"/>
          <w:tab w:val="left" w:pos="2552"/>
          <w:tab w:val="left" w:pos="7938"/>
        </w:tabs>
        <w:ind w:left="426" w:right="9"/>
        <w:rPr>
          <w:b/>
          <w:color w:val="C00000"/>
          <w:spacing w:val="0"/>
          <w:szCs w:val="18"/>
        </w:rPr>
      </w:pPr>
    </w:p>
    <w:p w14:paraId="595CF2E1" w14:textId="77777777" w:rsidR="00BC4728" w:rsidRDefault="00BC4728" w:rsidP="00BC4728">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5DDE74D5" w14:textId="77777777" w:rsidR="00BC4728" w:rsidRDefault="00BC4728" w:rsidP="00BC4728">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BC4728" w14:paraId="1D6A9DEB" w14:textId="77777777" w:rsidTr="008D72D6">
        <w:trPr>
          <w:cantSplit/>
        </w:trPr>
        <w:tc>
          <w:tcPr>
            <w:tcW w:w="8644" w:type="dxa"/>
            <w:gridSpan w:val="3"/>
          </w:tcPr>
          <w:p w14:paraId="3A34FA14" w14:textId="77777777" w:rsidR="00BC4728" w:rsidRPr="0066333C" w:rsidRDefault="00BC4728" w:rsidP="008D72D6">
            <w:pPr>
              <w:keepNext/>
              <w:keepLines/>
              <w:widowControl w:val="0"/>
              <w:ind w:left="-104"/>
              <w:rPr>
                <w:bCs/>
                <w:szCs w:val="18"/>
              </w:rPr>
            </w:pPr>
            <w:r w:rsidRPr="00250D25">
              <w:rPr>
                <w:b/>
                <w:color w:val="B5181F"/>
                <w:szCs w:val="18"/>
              </w:rPr>
              <w:t>Kooperationspartner:</w:t>
            </w:r>
            <w:r>
              <w:rPr>
                <w:b/>
                <w:color w:val="B5181F"/>
                <w:szCs w:val="18"/>
              </w:rPr>
              <w:br/>
            </w:r>
          </w:p>
        </w:tc>
      </w:tr>
      <w:tr w:rsidR="00BC4728" w14:paraId="798DCBCB" w14:textId="77777777" w:rsidTr="008D72D6">
        <w:trPr>
          <w:cantSplit/>
        </w:trPr>
        <w:tc>
          <w:tcPr>
            <w:tcW w:w="2882" w:type="dxa"/>
          </w:tcPr>
          <w:p w14:paraId="1E39133F" w14:textId="77777777" w:rsidR="00BC4728" w:rsidRPr="0066333C" w:rsidRDefault="00BC4728" w:rsidP="008D72D6">
            <w:pPr>
              <w:keepNext/>
              <w:keepLines/>
              <w:widowControl w:val="0"/>
              <w:ind w:left="0"/>
              <w:rPr>
                <w:bCs/>
              </w:rPr>
            </w:pPr>
            <w:r w:rsidRPr="0066333C">
              <w:rPr>
                <w:bCs/>
                <w:szCs w:val="18"/>
              </w:rPr>
              <w:t/>
              <w:pict>
                <v:shape type="#_x0000_t75" style="width:4cm;height:1cm" stroked="f" filled="f">
                  <v:imagedata r:id="rId17" o:title=""/>
                </v:shape>
              </w:pict>
              <w:t/>
            </w:r>
          </w:p>
        </w:tc>
        <w:tc>
          <w:tcPr>
            <w:tcW w:w="2881" w:type="dxa"/>
          </w:tcPr>
          <w:p w14:paraId="0EA40752" w14:textId="77777777" w:rsidR="00BC4728" w:rsidRPr="0066333C" w:rsidRDefault="00BC4728" w:rsidP="008D72D6">
            <w:pPr>
              <w:keepNext/>
              <w:keepLines/>
              <w:widowControl w:val="0"/>
              <w:ind w:left="0"/>
              <w:rPr>
                <w:bCs/>
              </w:rPr>
            </w:pPr>
            <w:r w:rsidRPr="0066333C">
              <w:rPr>
                <w:bCs/>
                <w:szCs w:val="18"/>
              </w:rPr>
              <w:t/>
            </w:r>
          </w:p>
        </w:tc>
        <w:tc>
          <w:tcPr>
            <w:tcW w:w="2881" w:type="dxa"/>
          </w:tcPr>
          <w:p w14:paraId="45B98771" w14:textId="77777777" w:rsidR="00BC4728" w:rsidRPr="0066333C" w:rsidRDefault="00BC4728" w:rsidP="008D72D6">
            <w:pPr>
              <w:keepNext/>
              <w:keepLines/>
              <w:widowControl w:val="0"/>
              <w:ind w:left="0"/>
              <w:rPr>
                <w:bCs/>
              </w:rPr>
            </w:pPr>
            <w:r w:rsidRPr="0066333C">
              <w:rPr>
                <w:bCs/>
                <w:szCs w:val="18"/>
              </w:rPr>
              <w:t/>
            </w:r>
          </w:p>
        </w:tc>
      </w:tr>
      <w:tr w:rsidR="00BC4728" w14:paraId="4C90FFC5" w14:textId="77777777" w:rsidTr="008D72D6">
        <w:trPr>
          <w:cantSplit/>
        </w:trPr>
        <w:tc>
          <w:tcPr>
            <w:tcW w:w="2882" w:type="dxa"/>
          </w:tcPr>
          <w:p w14:paraId="4FD03177" w14:textId="77777777" w:rsidR="00BC4728" w:rsidRPr="006B3125" w:rsidRDefault="00BC4728" w:rsidP="008D72D6">
            <w:pPr>
              <w:keepNext/>
              <w:keepLines/>
              <w:widowControl w:val="0"/>
              <w:ind w:left="0"/>
              <w:rPr>
                <w:bCs/>
                <w:sz w:val="14"/>
                <w:szCs w:val="14"/>
              </w:rPr>
            </w:pPr>
            <w:r w:rsidRPr="006B3125">
              <w:rPr>
                <w:bCs/>
                <w:sz w:val="14"/>
                <w:szCs w:val="14"/>
              </w:rPr>
              <w:t>China-Netzwerk-Baden-Württemberg e.V.</w:t>
              <w:br/>
              <w:t/>
            </w:r>
          </w:p>
        </w:tc>
        <w:tc>
          <w:tcPr>
            <w:tcW w:w="2881" w:type="dxa"/>
          </w:tcPr>
          <w:p w14:paraId="010692DA" w14:textId="77777777" w:rsidR="00BC4728" w:rsidRPr="006B3125" w:rsidRDefault="00BC4728" w:rsidP="008D72D6">
            <w:pPr>
              <w:keepNext/>
              <w:keepLines/>
              <w:widowControl w:val="0"/>
              <w:ind w:left="0"/>
              <w:rPr>
                <w:bCs/>
                <w:sz w:val="14"/>
                <w:szCs w:val="14"/>
              </w:rPr>
            </w:pPr>
            <w:r w:rsidRPr="006B3125">
              <w:rPr>
                <w:bCs/>
                <w:sz w:val="14"/>
                <w:szCs w:val="14"/>
              </w:rPr>
              <w:t/>
            </w:r>
          </w:p>
        </w:tc>
        <w:tc>
          <w:tcPr>
            <w:tcW w:w="2881" w:type="dxa"/>
          </w:tcPr>
          <w:p w14:paraId="743C68E5" w14:textId="77777777" w:rsidR="00BC4728" w:rsidRPr="006B3125" w:rsidRDefault="00BC4728" w:rsidP="008D72D6">
            <w:pPr>
              <w:keepNext/>
              <w:keepLines/>
              <w:widowControl w:val="0"/>
              <w:ind w:left="0"/>
              <w:rPr>
                <w:bCs/>
                <w:sz w:val="14"/>
                <w:szCs w:val="14"/>
              </w:rPr>
            </w:pPr>
            <w:r w:rsidRPr="006B3125">
              <w:rPr>
                <w:bCs/>
                <w:sz w:val="14"/>
                <w:szCs w:val="14"/>
              </w:rPr>
              <w:t/>
            </w:r>
          </w:p>
        </w:tc>
      </w:tr>
      <w:tr w:rsidR="00BC4728" w14:paraId="7F7C4420" w14:textId="77777777" w:rsidTr="008D72D6">
        <w:trPr>
          <w:cantSplit/>
        </w:trPr>
        <w:tc>
          <w:tcPr>
            <w:tcW w:w="2882" w:type="dxa"/>
          </w:tcPr>
          <w:p w14:paraId="71B10134" w14:textId="77777777" w:rsidR="00BC4728" w:rsidRPr="0066333C" w:rsidRDefault="00BC4728" w:rsidP="008D72D6">
            <w:pPr>
              <w:keepNext/>
              <w:keepLines/>
              <w:widowControl w:val="0"/>
              <w:ind w:left="0"/>
              <w:rPr>
                <w:bCs/>
              </w:rPr>
            </w:pPr>
            <w:r w:rsidRPr="0066333C">
              <w:rPr>
                <w:bCs/>
                <w:szCs w:val="18"/>
              </w:rPr>
              <w:t/>
            </w:r>
          </w:p>
        </w:tc>
        <w:tc>
          <w:tcPr>
            <w:tcW w:w="2881" w:type="dxa"/>
          </w:tcPr>
          <w:p w14:paraId="2E882386" w14:textId="77777777" w:rsidR="00BC4728" w:rsidRPr="0066333C" w:rsidRDefault="00BC4728" w:rsidP="008D72D6">
            <w:pPr>
              <w:keepNext/>
              <w:keepLines/>
              <w:widowControl w:val="0"/>
              <w:ind w:left="0"/>
              <w:rPr>
                <w:bCs/>
              </w:rPr>
            </w:pPr>
            <w:r w:rsidRPr="0066333C">
              <w:rPr>
                <w:bCs/>
                <w:szCs w:val="18"/>
              </w:rPr>
              <w:t/>
            </w:r>
          </w:p>
        </w:tc>
        <w:tc>
          <w:tcPr>
            <w:tcW w:w="2881" w:type="dxa"/>
          </w:tcPr>
          <w:p w14:paraId="37C79A6E" w14:textId="77777777" w:rsidR="00BC4728" w:rsidRPr="0066333C" w:rsidRDefault="00BC4728" w:rsidP="008D72D6">
            <w:pPr>
              <w:keepNext/>
              <w:keepLines/>
              <w:widowControl w:val="0"/>
              <w:ind w:left="0"/>
              <w:rPr>
                <w:bCs/>
              </w:rPr>
            </w:pPr>
            <w:r w:rsidRPr="0066333C">
              <w:rPr>
                <w:bCs/>
                <w:szCs w:val="18"/>
              </w:rPr>
              <w:t/>
            </w:r>
          </w:p>
        </w:tc>
      </w:tr>
      <w:tr w:rsidR="00BC4728" w14:paraId="774B98DE" w14:textId="77777777" w:rsidTr="008D72D6">
        <w:trPr>
          <w:cantSplit/>
        </w:trPr>
        <w:tc>
          <w:tcPr>
            <w:tcW w:w="2882" w:type="dxa"/>
          </w:tcPr>
          <w:p w14:paraId="5D4E7B7B" w14:textId="77777777" w:rsidR="00BC4728" w:rsidRPr="006B3125" w:rsidRDefault="00BC4728" w:rsidP="008D72D6">
            <w:pPr>
              <w:keepNext/>
              <w:keepLines/>
              <w:widowControl w:val="0"/>
              <w:ind w:left="0"/>
              <w:rPr>
                <w:bCs/>
                <w:sz w:val="14"/>
                <w:szCs w:val="14"/>
              </w:rPr>
            </w:pPr>
            <w:r w:rsidRPr="006B3125">
              <w:rPr>
                <w:bCs/>
                <w:sz w:val="14"/>
                <w:szCs w:val="14"/>
              </w:rPr>
              <w:t/>
            </w:r>
          </w:p>
        </w:tc>
        <w:tc>
          <w:tcPr>
            <w:tcW w:w="2881" w:type="dxa"/>
          </w:tcPr>
          <w:p w14:paraId="26E40144" w14:textId="77777777" w:rsidR="00BC4728" w:rsidRPr="006B3125" w:rsidRDefault="00BC4728" w:rsidP="008D72D6">
            <w:pPr>
              <w:keepNext/>
              <w:keepLines/>
              <w:widowControl w:val="0"/>
              <w:ind w:left="0"/>
              <w:rPr>
                <w:bCs/>
                <w:sz w:val="14"/>
                <w:szCs w:val="14"/>
              </w:rPr>
            </w:pPr>
            <w:r w:rsidRPr="006B3125">
              <w:rPr>
                <w:bCs/>
                <w:sz w:val="14"/>
                <w:szCs w:val="14"/>
              </w:rPr>
              <w:t/>
            </w:r>
          </w:p>
        </w:tc>
        <w:tc>
          <w:tcPr>
            <w:tcW w:w="2881" w:type="dxa"/>
          </w:tcPr>
          <w:p w14:paraId="1411508B" w14:textId="77777777" w:rsidR="00BC4728" w:rsidRPr="006B3125" w:rsidRDefault="00BC4728" w:rsidP="008D72D6">
            <w:pPr>
              <w:keepNext/>
              <w:keepLines/>
              <w:widowControl w:val="0"/>
              <w:ind w:left="0"/>
              <w:rPr>
                <w:bCs/>
                <w:sz w:val="14"/>
                <w:szCs w:val="14"/>
              </w:rPr>
            </w:pPr>
            <w:r w:rsidRPr="006B3125">
              <w:rPr>
                <w:bCs/>
                <w:sz w:val="14"/>
                <w:szCs w:val="14"/>
              </w:rPr>
              <w:t/>
            </w:r>
          </w:p>
        </w:tc>
      </w:tr>
    </w:tbl>
    <w:p w14:paraId="2A347B94" w14:textId="77777777" w:rsidR="00BC4728" w:rsidRPr="00ED1ACA" w:rsidRDefault="00BC4728" w:rsidP="00BC4728">
      <w:pPr>
        <w:keepNext/>
        <w:keepLines/>
        <w:widowControl w:val="0"/>
        <w:ind w:left="426"/>
        <w:rPr>
          <w:bCs/>
        </w:rPr>
      </w:pPr>
    </w:p>
    <w:p w14:paraId="2BCFACBF" w14:textId="04D4185F" w:rsidR="002B57A6" w:rsidRPr="00ED1ACA" w:rsidRDefault="002B57A6" w:rsidP="009C658D">
      <w:pPr>
        <w:ind w:left="426"/>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562D6" w14:textId="77777777" w:rsidR="00547D2C" w:rsidRDefault="00547D2C" w:rsidP="00E135C4">
      <w:pPr>
        <w:spacing w:after="0" w:line="240" w:lineRule="auto"/>
      </w:pPr>
      <w:r>
        <w:separator/>
      </w:r>
    </w:p>
  </w:endnote>
  <w:endnote w:type="continuationSeparator" w:id="0">
    <w:p w14:paraId="61D6A26C" w14:textId="77777777" w:rsidR="00547D2C" w:rsidRDefault="00547D2C"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2E04" w14:textId="77777777" w:rsidR="00187615" w:rsidRDefault="001876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0D8CD542" w14:textId="143FB5F1" w:rsidR="00E135C4" w:rsidRPr="00F8691D" w:rsidRDefault="002532B6" w:rsidP="0044144E">
          <w:pPr>
            <w:pStyle w:val="Fuzeile"/>
            <w:ind w:left="0"/>
          </w:pPr>
          <w:r>
            <w:rPr>
              <w:noProof/>
            </w:rPr>
            <mc:AlternateContent>
              <mc:Choice Requires="wps">
                <w:drawing>
                  <wp:anchor distT="0" distB="0" distL="114300" distR="114300" simplePos="0" relativeHeight="251666432" behindDoc="0" locked="0" layoutInCell="1" allowOverlap="1" wp14:anchorId="24085001" wp14:editId="430BEF3B">
                    <wp:simplePos x="0" y="0"/>
                    <wp:positionH relativeFrom="column">
                      <wp:posOffset>857250</wp:posOffset>
                    </wp:positionH>
                    <wp:positionV relativeFrom="paragraph">
                      <wp:posOffset>440055</wp:posOffset>
                    </wp:positionV>
                    <wp:extent cx="2984500" cy="607060"/>
                    <wp:effectExtent l="0" t="0" r="0" b="2540"/>
                    <wp:wrapNone/>
                    <wp:docPr id="9" name="Textfeld 9"/>
                    <wp:cNvGraphicFramePr/>
                    <a:graphic xmlns:a="http://schemas.openxmlformats.org/drawingml/2006/main">
                      <a:graphicData uri="http://schemas.microsoft.com/office/word/2010/wordprocessingShape">
                        <wps:wsp>
                          <wps:cNvSpPr txBox="1"/>
                          <wps:spPr>
                            <a:xfrm>
                              <a:off x="0" y="0"/>
                              <a:ext cx="2984500" cy="607060"/>
                            </a:xfrm>
                            <a:prstGeom prst="rect">
                              <a:avLst/>
                            </a:prstGeom>
                            <a:noFill/>
                            <a:ln w="6350">
                              <a:noFill/>
                            </a:ln>
                          </wps:spPr>
                          <wps:txbx>
                            <w:txbxContent>
                              <w:p w14:paraId="75A48344" w14:textId="01EC28AB" w:rsidR="00AE532C" w:rsidRDefault="00AE532C" w:rsidP="00AE532C">
                                <w:pPr>
                                  <w:pStyle w:val="Fuzeile"/>
                                  <w:ind w:left="0"/>
                                </w:pPr>
                                <w:r>
                                  <w:rPr>
                                    <w:rFonts w:cs="DINNextLTPro-Bold"/>
                                    <w:b/>
                                    <w:bCs/>
                                    <w:color w:val="A6A6A6" w:themeColor="background1" w:themeShade="A6"/>
                                    <w:szCs w:val="18"/>
                                  </w:rPr>
                                  <w:t xml:space="preserve">Haus </w:t>
                                </w:r>
                                <w:proofErr w:type="gramStart"/>
                                <w:r>
                                  <w:rPr>
                                    <w:rFonts w:cs="DINNextLTPro-Bold"/>
                                    <w:b/>
                                    <w:bCs/>
                                    <w:color w:val="A6A6A6" w:themeColor="background1" w:themeShade="A6"/>
                                    <w:szCs w:val="18"/>
                                  </w:rPr>
                                  <w:t>auf der Alb</w:t>
                                </w:r>
                                <w:proofErr w:type="gramEnd"/>
                                <w:r w:rsidRPr="00D54996">
                                  <w:rPr>
                                    <w:rFonts w:cs="DINNextLTPro-Bold"/>
                                    <w:b/>
                                    <w:bCs/>
                                    <w:color w:val="A6A6A6" w:themeColor="background1" w:themeShade="A6"/>
                                    <w:szCs w:val="18"/>
                                  </w:rPr>
                                  <w:t xml:space="preserve"> </w:t>
                                </w:r>
                                <w:r w:rsidRPr="00D54996">
                                  <w:rPr>
                                    <w:rFonts w:cs="DINNextLTPro-Light"/>
                                    <w:color w:val="A6A6A6" w:themeColor="background1" w:themeShade="A6"/>
                                    <w:szCs w:val="18"/>
                                  </w:rPr>
                                  <w:t xml:space="preserve">| </w:t>
                                </w:r>
                                <w:r>
                                  <w:rPr>
                                    <w:rFonts w:cs="DINNextLTPro-Light"/>
                                    <w:color w:val="A6A6A6" w:themeColor="background1" w:themeShade="A6"/>
                                    <w:szCs w:val="18"/>
                                  </w:rPr>
                                  <w:br/>
                                  <w:t>Hanner Steige</w:t>
                                </w:r>
                                <w:r w:rsidRPr="00D54996">
                                  <w:rPr>
                                    <w:rFonts w:cs="DINNextLTPro-Light"/>
                                    <w:color w:val="A6A6A6" w:themeColor="background1" w:themeShade="A6"/>
                                    <w:szCs w:val="18"/>
                                  </w:rPr>
                                  <w:t xml:space="preserve"> </w:t>
                                </w:r>
                                <w:r>
                                  <w:rPr>
                                    <w:rFonts w:cs="DINNextLTPro-Light"/>
                                    <w:color w:val="A6A6A6" w:themeColor="background1" w:themeShade="A6"/>
                                    <w:szCs w:val="18"/>
                                  </w:rPr>
                                  <w:t>1</w:t>
                                </w:r>
                                <w:r w:rsidRPr="00D54996">
                                  <w:rPr>
                                    <w:rFonts w:cs="DINNextLTPro-Light"/>
                                    <w:color w:val="A6A6A6" w:themeColor="background1" w:themeShade="A6"/>
                                    <w:szCs w:val="18"/>
                                  </w:rPr>
                                  <w:t xml:space="preserve">, </w:t>
                                </w:r>
                                <w:r w:rsidRPr="00A93EC8">
                                  <w:rPr>
                                    <w:rFonts w:cs="DINNextLTPro-Light"/>
                                    <w:color w:val="A6A6A6" w:themeColor="background1" w:themeShade="A6"/>
                                    <w:szCs w:val="18"/>
                                  </w:rPr>
                                  <w:t>72574</w:t>
                                </w:r>
                                <w:r w:rsidRPr="00D54996">
                                  <w:rPr>
                                    <w:rFonts w:cs="DINNextLTPro-Light"/>
                                    <w:color w:val="A6A6A6" w:themeColor="background1" w:themeShade="A6"/>
                                    <w:szCs w:val="18"/>
                                  </w:rPr>
                                  <w:t xml:space="preserve"> </w:t>
                                </w:r>
                                <w:r>
                                  <w:rPr>
                                    <w:rFonts w:cs="DINNextLTPro-Light"/>
                                    <w:color w:val="A6A6A6" w:themeColor="background1" w:themeShade="A6"/>
                                    <w:szCs w:val="18"/>
                                  </w:rPr>
                                  <w:t xml:space="preserve">Bad Urach </w:t>
                                </w:r>
                                <w:r>
                                  <w:rPr>
                                    <w:rFonts w:cs="DINNextLTPro-Light"/>
                                    <w:color w:val="A6A6A6" w:themeColor="background1" w:themeShade="A6"/>
                                    <w:szCs w:val="18"/>
                                  </w:rPr>
                                  <w:br/>
                                </w:r>
                                <w:r w:rsidRPr="00D54996">
                                  <w:rPr>
                                    <w:rFonts w:cs="DINNextLTPro-Light"/>
                                    <w:color w:val="A6A6A6" w:themeColor="background1" w:themeShade="A6"/>
                                    <w:szCs w:val="18"/>
                                  </w:rPr>
                                  <w:t>Tel. 07 1</w:t>
                                </w:r>
                                <w:r>
                                  <w:rPr>
                                    <w:rFonts w:cs="DINNextLTPro-Light"/>
                                    <w:color w:val="A6A6A6" w:themeColor="background1" w:themeShade="A6"/>
                                    <w:szCs w:val="18"/>
                                  </w:rPr>
                                  <w:t>25</w:t>
                                </w:r>
                                <w:r w:rsidRPr="00D54996">
                                  <w:rPr>
                                    <w:rFonts w:cs="DINNextLTPro-Light"/>
                                    <w:color w:val="A6A6A6" w:themeColor="background1" w:themeShade="A6"/>
                                    <w:szCs w:val="18"/>
                                  </w:rPr>
                                  <w:t>/</w:t>
                                </w:r>
                                <w:r>
                                  <w:rPr>
                                    <w:rFonts w:cs="DINNextLTPro-Light"/>
                                    <w:color w:val="A6A6A6" w:themeColor="background1" w:themeShade="A6"/>
                                    <w:szCs w:val="18"/>
                                  </w:rPr>
                                  <w:t>152</w:t>
                                </w:r>
                                <w:r w:rsidRPr="00D54996">
                                  <w:rPr>
                                    <w:rFonts w:cs="DINNextLTPro-Light"/>
                                    <w:color w:val="A6A6A6" w:themeColor="background1" w:themeShade="A6"/>
                                    <w:szCs w:val="18"/>
                                  </w:rPr>
                                  <w:t xml:space="preserve">-0 | </w:t>
                                </w:r>
                                <w:r w:rsidR="002532B6">
                                  <w:rPr>
                                    <w:rFonts w:cs="DINNextLTPro-Light"/>
                                    <w:color w:val="A6A6A6" w:themeColor="background1" w:themeShade="A6"/>
                                    <w:szCs w:val="18"/>
                                  </w:rPr>
                                  <w:t>h</w:t>
                                </w:r>
                                <w:r w:rsidRPr="00A93EC8">
                                  <w:rPr>
                                    <w:rFonts w:cs="DINNextLTPro-Light"/>
                                    <w:color w:val="A6A6A6" w:themeColor="background1" w:themeShade="A6"/>
                                    <w:szCs w:val="18"/>
                                  </w:rPr>
                                  <w:t>ausaufderalb.empfang@lpb.bwl.de</w:t>
                                </w:r>
                                <w:r>
                                  <w:rPr>
                                    <w:rFonts w:cs="DINNextLTPro-Light"/>
                                    <w:color w:val="A6A6A6" w:themeColor="background1" w:themeShade="A6"/>
                                    <w:szCs w:val="18"/>
                                  </w:rPr>
                                  <w:t xml:space="preserve"> </w:t>
                                </w:r>
                                <w:r w:rsidRPr="00A93EC8">
                                  <w:rPr>
                                    <w:rFonts w:cs="DINNextLTPro-Light"/>
                                    <w:color w:val="A6A6A6" w:themeColor="background1" w:themeShade="A6"/>
                                    <w:szCs w:val="18"/>
                                  </w:rPr>
                                  <w:t>www.hausaufder</w:t>
                                </w:r>
                                <w:r>
                                  <w:rPr>
                                    <w:rFonts w:cs="DINNextLTPro-Light"/>
                                    <w:color w:val="A6A6A6" w:themeColor="background1" w:themeShade="A6"/>
                                    <w:szCs w:val="18"/>
                                  </w:rPr>
                                  <w:t>alb</w:t>
                                </w:r>
                                <w:r w:rsidRPr="00D54996">
                                  <w:rPr>
                                    <w:rFonts w:cs="DINNextLTPro-Light"/>
                                    <w:color w:val="A6A6A6" w:themeColor="background1" w:themeShade="A6"/>
                                    <w:szCs w:val="18"/>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85001" id="_x0000_t202" coordsize="21600,21600" o:spt="202" path="m,l,21600r21600,l21600,xe">
                    <v:stroke joinstyle="miter"/>
                    <v:path gradientshapeok="t" o:connecttype="rect"/>
                  </v:shapetype>
                  <v:shape id="Textfeld 9" o:spid="_x0000_s1026" type="#_x0000_t202" style="position:absolute;margin-left:67.5pt;margin-top:34.65pt;width:235pt;height:4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" filled="f" stroked="f" strokeweight=".5pt">
                    <v:textbox>
                      <w:txbxContent>
                        <w:p w14:paraId="75A48344" w14:textId="01EC28AB" w:rsidR="00AE532C" w:rsidRDefault="00AE532C" w:rsidP="00AE532C">
                          <w:pPr>
                            <w:pStyle w:val="Fuzeile"/>
                            <w:ind w:left="0"/>
                          </w:pPr>
                          <w:r>
                            <w:rPr>
                              <w:rFonts w:cs="DINNextLTPro-Bold"/>
                              <w:b/>
                              <w:bCs/>
                              <w:color w:val="A6A6A6" w:themeColor="background1" w:themeShade="A6"/>
                              <w:szCs w:val="18"/>
                            </w:rPr>
                            <w:t xml:space="preserve">Haus </w:t>
                          </w:r>
                          <w:proofErr w:type="gramStart"/>
                          <w:r>
                            <w:rPr>
                              <w:rFonts w:cs="DINNextLTPro-Bold"/>
                              <w:b/>
                              <w:bCs/>
                              <w:color w:val="A6A6A6" w:themeColor="background1" w:themeShade="A6"/>
                              <w:szCs w:val="18"/>
                            </w:rPr>
                            <w:t>auf der Alb</w:t>
                          </w:r>
                          <w:proofErr w:type="gramEnd"/>
                          <w:r w:rsidRPr="00D54996">
                            <w:rPr>
                              <w:rFonts w:cs="DINNextLTPro-Bold"/>
                              <w:b/>
                              <w:bCs/>
                              <w:color w:val="A6A6A6" w:themeColor="background1" w:themeShade="A6"/>
                              <w:szCs w:val="18"/>
                            </w:rPr>
                            <w:t xml:space="preserve"> </w:t>
                          </w:r>
                          <w:r w:rsidRPr="00D54996">
                            <w:rPr>
                              <w:rFonts w:cs="DINNextLTPro-Light"/>
                              <w:color w:val="A6A6A6" w:themeColor="background1" w:themeShade="A6"/>
                              <w:szCs w:val="18"/>
                            </w:rPr>
                            <w:t xml:space="preserve">| </w:t>
                          </w:r>
                          <w:r>
                            <w:rPr>
                              <w:rFonts w:cs="DINNextLTPro-Light"/>
                              <w:color w:val="A6A6A6" w:themeColor="background1" w:themeShade="A6"/>
                              <w:szCs w:val="18"/>
                            </w:rPr>
                            <w:br/>
                            <w:t>Hanner Steige</w:t>
                          </w:r>
                          <w:r w:rsidRPr="00D54996">
                            <w:rPr>
                              <w:rFonts w:cs="DINNextLTPro-Light"/>
                              <w:color w:val="A6A6A6" w:themeColor="background1" w:themeShade="A6"/>
                              <w:szCs w:val="18"/>
                            </w:rPr>
                            <w:t xml:space="preserve"> </w:t>
                          </w:r>
                          <w:r>
                            <w:rPr>
                              <w:rFonts w:cs="DINNextLTPro-Light"/>
                              <w:color w:val="A6A6A6" w:themeColor="background1" w:themeShade="A6"/>
                              <w:szCs w:val="18"/>
                            </w:rPr>
                            <w:t>1</w:t>
                          </w:r>
                          <w:r w:rsidRPr="00D54996">
                            <w:rPr>
                              <w:rFonts w:cs="DINNextLTPro-Light"/>
                              <w:color w:val="A6A6A6" w:themeColor="background1" w:themeShade="A6"/>
                              <w:szCs w:val="18"/>
                            </w:rPr>
                            <w:t xml:space="preserve">, </w:t>
                          </w:r>
                          <w:r w:rsidRPr="00A93EC8">
                            <w:rPr>
                              <w:rFonts w:cs="DINNextLTPro-Light"/>
                              <w:color w:val="A6A6A6" w:themeColor="background1" w:themeShade="A6"/>
                              <w:szCs w:val="18"/>
                            </w:rPr>
                            <w:t>72574</w:t>
                          </w:r>
                          <w:r w:rsidRPr="00D54996">
                            <w:rPr>
                              <w:rFonts w:cs="DINNextLTPro-Light"/>
                              <w:color w:val="A6A6A6" w:themeColor="background1" w:themeShade="A6"/>
                              <w:szCs w:val="18"/>
                            </w:rPr>
                            <w:t xml:space="preserve"> </w:t>
                          </w:r>
                          <w:r>
                            <w:rPr>
                              <w:rFonts w:cs="DINNextLTPro-Light"/>
                              <w:color w:val="A6A6A6" w:themeColor="background1" w:themeShade="A6"/>
                              <w:szCs w:val="18"/>
                            </w:rPr>
                            <w:t xml:space="preserve">Bad Urach </w:t>
                          </w:r>
                          <w:r>
                            <w:rPr>
                              <w:rFonts w:cs="DINNextLTPro-Light"/>
                              <w:color w:val="A6A6A6" w:themeColor="background1" w:themeShade="A6"/>
                              <w:szCs w:val="18"/>
                            </w:rPr>
                            <w:br/>
                          </w:r>
                          <w:r w:rsidRPr="00D54996">
                            <w:rPr>
                              <w:rFonts w:cs="DINNextLTPro-Light"/>
                              <w:color w:val="A6A6A6" w:themeColor="background1" w:themeShade="A6"/>
                              <w:szCs w:val="18"/>
                            </w:rPr>
                            <w:t>Tel. 07 1</w:t>
                          </w:r>
                          <w:r>
                            <w:rPr>
                              <w:rFonts w:cs="DINNextLTPro-Light"/>
                              <w:color w:val="A6A6A6" w:themeColor="background1" w:themeShade="A6"/>
                              <w:szCs w:val="18"/>
                            </w:rPr>
                            <w:t>25</w:t>
                          </w:r>
                          <w:r w:rsidRPr="00D54996">
                            <w:rPr>
                              <w:rFonts w:cs="DINNextLTPro-Light"/>
                              <w:color w:val="A6A6A6" w:themeColor="background1" w:themeShade="A6"/>
                              <w:szCs w:val="18"/>
                            </w:rPr>
                            <w:t>/</w:t>
                          </w:r>
                          <w:r>
                            <w:rPr>
                              <w:rFonts w:cs="DINNextLTPro-Light"/>
                              <w:color w:val="A6A6A6" w:themeColor="background1" w:themeShade="A6"/>
                              <w:szCs w:val="18"/>
                            </w:rPr>
                            <w:t>152</w:t>
                          </w:r>
                          <w:r w:rsidRPr="00D54996">
                            <w:rPr>
                              <w:rFonts w:cs="DINNextLTPro-Light"/>
                              <w:color w:val="A6A6A6" w:themeColor="background1" w:themeShade="A6"/>
                              <w:szCs w:val="18"/>
                            </w:rPr>
                            <w:t xml:space="preserve">-0 | </w:t>
                          </w:r>
                          <w:r w:rsidR="002532B6">
                            <w:rPr>
                              <w:rFonts w:cs="DINNextLTPro-Light"/>
                              <w:color w:val="A6A6A6" w:themeColor="background1" w:themeShade="A6"/>
                              <w:szCs w:val="18"/>
                            </w:rPr>
                            <w:t>h</w:t>
                          </w:r>
                          <w:r w:rsidRPr="00A93EC8">
                            <w:rPr>
                              <w:rFonts w:cs="DINNextLTPro-Light"/>
                              <w:color w:val="A6A6A6" w:themeColor="background1" w:themeShade="A6"/>
                              <w:szCs w:val="18"/>
                            </w:rPr>
                            <w:t>ausaufderalb.empfang@lpb.bwl.de</w:t>
                          </w:r>
                          <w:r>
                            <w:rPr>
                              <w:rFonts w:cs="DINNextLTPro-Light"/>
                              <w:color w:val="A6A6A6" w:themeColor="background1" w:themeShade="A6"/>
                              <w:szCs w:val="18"/>
                            </w:rPr>
                            <w:t xml:space="preserve"> </w:t>
                          </w:r>
                          <w:r w:rsidRPr="00A93EC8">
                            <w:rPr>
                              <w:rFonts w:cs="DINNextLTPro-Light"/>
                              <w:color w:val="A6A6A6" w:themeColor="background1" w:themeShade="A6"/>
                              <w:szCs w:val="18"/>
                            </w:rPr>
                            <w:t>www.hausaufder</w:t>
                          </w:r>
                          <w:r>
                            <w:rPr>
                              <w:rFonts w:cs="DINNextLTPro-Light"/>
                              <w:color w:val="A6A6A6" w:themeColor="background1" w:themeShade="A6"/>
                              <w:szCs w:val="18"/>
                            </w:rPr>
                            <w:t>alb</w:t>
                          </w:r>
                          <w:r w:rsidRPr="00D54996">
                            <w:rPr>
                              <w:rFonts w:cs="DINNextLTPro-Light"/>
                              <w:color w:val="A6A6A6" w:themeColor="background1" w:themeShade="A6"/>
                              <w:szCs w:val="18"/>
                            </w:rPr>
                            <w:t>.de</w:t>
                          </w:r>
                        </w:p>
                      </w:txbxContent>
                    </v:textbox>
                  </v:shape>
                </w:pict>
              </mc:Fallback>
            </mc:AlternateContent>
          </w:r>
          <w:r>
            <w:rPr>
              <w:noProof/>
            </w:rPr>
            <w:drawing>
              <wp:anchor distT="0" distB="0" distL="114300" distR="114300" simplePos="0" relativeHeight="251665408" behindDoc="0" locked="0" layoutInCell="1" allowOverlap="1" wp14:anchorId="6B429383" wp14:editId="6B33A535">
                <wp:simplePos x="0" y="0"/>
                <wp:positionH relativeFrom="column">
                  <wp:posOffset>93345</wp:posOffset>
                </wp:positionH>
                <wp:positionV relativeFrom="paragraph">
                  <wp:posOffset>156845</wp:posOffset>
                </wp:positionV>
                <wp:extent cx="718820" cy="862965"/>
                <wp:effectExtent l="0" t="0" r="508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18820" cy="862965"/>
                        </a:xfrm>
                        <a:prstGeom prst="rect">
                          <a:avLst/>
                        </a:prstGeom>
                      </pic:spPr>
                    </pic:pic>
                  </a:graphicData>
                </a:graphic>
                <wp14:sizeRelH relativeFrom="margin">
                  <wp14:pctWidth>0</wp14:pctWidth>
                </wp14:sizeRelH>
                <wp14:sizeRelV relativeFrom="margin">
                  <wp14:pctHeight>0</wp14:pctHeight>
                </wp14:sizeRelV>
              </wp:anchor>
            </w:drawing>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07BB3859">
                <wp:extent cx="1690547" cy="946706"/>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2">
                          <a:extLst>
                            <a:ext uri="{28A0092B-C50C-407E-A947-70E740481C1C}">
                              <a14:useLocalDpi xmlns:a14="http://schemas.microsoft.com/office/drawing/2010/main" val="0"/>
                            </a:ext>
                          </a:extLst>
                        </a:blip>
                        <a:stretch>
                          <a:fillRect/>
                        </a:stretch>
                      </pic:blipFill>
                      <pic:spPr>
                        <a:xfrm>
                          <a:off x="0" y="0"/>
                          <a:ext cx="1690547" cy="946706"/>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DD4B" w14:textId="77777777" w:rsidR="00187615" w:rsidRDefault="001876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9F60" w14:textId="77777777" w:rsidR="00547D2C" w:rsidRDefault="00547D2C" w:rsidP="00E135C4">
      <w:pPr>
        <w:spacing w:after="0" w:line="240" w:lineRule="auto"/>
      </w:pPr>
      <w:r>
        <w:separator/>
      </w:r>
    </w:p>
  </w:footnote>
  <w:footnote w:type="continuationSeparator" w:id="0">
    <w:p w14:paraId="704B6AFA" w14:textId="77777777" w:rsidR="00547D2C" w:rsidRDefault="00547D2C"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1204" w14:textId="77777777" w:rsidR="00187615" w:rsidRDefault="001876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2DCF5B88" w:rsidR="002D2E7C" w:rsidRPr="00B42E04" w:rsidRDefault="00B42E04" w:rsidP="00B42E04">
    <w:pPr>
      <w:pStyle w:val="02LpBTitel30pt"/>
      <w:tabs>
        <w:tab w:val="clear" w:pos="737"/>
        <w:tab w:val="left" w:pos="1985"/>
      </w:tabs>
      <w:spacing w:after="480" w:line="720" w:lineRule="exact"/>
      <w:ind w:left="426" w:right="11"/>
      <w:jc w:val="right"/>
      <w:rPr>
        <w:color w:val="C00000"/>
        <w:sz w:val="28"/>
        <w:szCs w:val="28"/>
      </w:rPr>
    </w:pPr>
    <w:r w:rsidRPr="00E028EF">
      <w:rPr>
        <w:color w:val="C00000"/>
        <w:sz w:val="28"/>
        <w:szCs w:val="28"/>
      </w:rPr>
      <w:t>Workshop</w:t>
    </w:r>
    <w:r w:rsidR="00E028EF">
      <w:rPr>
        <w:noProof/>
      </w:rPr>
      <w:drawing>
        <wp:anchor distT="0" distB="0" distL="114300" distR="114300" simplePos="0" relativeHeight="251668480" behindDoc="1" locked="0" layoutInCell="1" allowOverlap="1" wp14:anchorId="6D9CDA0F" wp14:editId="7C875D5A">
          <wp:simplePos x="0" y="0"/>
          <wp:positionH relativeFrom="page">
            <wp:posOffset>-38644</wp:posOffset>
          </wp:positionH>
          <wp:positionV relativeFrom="paragraph">
            <wp:posOffset>-501831</wp:posOffset>
          </wp:positionV>
          <wp:extent cx="842555" cy="7482979"/>
          <wp:effectExtent l="0" t="0" r="0" b="381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42555" cy="7482979"/>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63EF" w14:textId="77777777" w:rsidR="00187615" w:rsidRDefault="0018761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0D7AA5"/>
    <w:rsid w:val="001143F4"/>
    <w:rsid w:val="001509B3"/>
    <w:rsid w:val="0017034C"/>
    <w:rsid w:val="00177510"/>
    <w:rsid w:val="00187615"/>
    <w:rsid w:val="001D2BA6"/>
    <w:rsid w:val="00250D25"/>
    <w:rsid w:val="002532B6"/>
    <w:rsid w:val="0029406E"/>
    <w:rsid w:val="002A76D4"/>
    <w:rsid w:val="002B57A6"/>
    <w:rsid w:val="002C5B80"/>
    <w:rsid w:val="002D2E7C"/>
    <w:rsid w:val="00310320"/>
    <w:rsid w:val="0032332B"/>
    <w:rsid w:val="003274C3"/>
    <w:rsid w:val="00343954"/>
    <w:rsid w:val="00354C49"/>
    <w:rsid w:val="003735F7"/>
    <w:rsid w:val="003768BE"/>
    <w:rsid w:val="003A1C61"/>
    <w:rsid w:val="003A62BE"/>
    <w:rsid w:val="0040327F"/>
    <w:rsid w:val="0041703F"/>
    <w:rsid w:val="0044144E"/>
    <w:rsid w:val="00474FFA"/>
    <w:rsid w:val="004D3C9B"/>
    <w:rsid w:val="004F06A5"/>
    <w:rsid w:val="00506863"/>
    <w:rsid w:val="005224E5"/>
    <w:rsid w:val="005362D6"/>
    <w:rsid w:val="00547D2C"/>
    <w:rsid w:val="00556815"/>
    <w:rsid w:val="0055756C"/>
    <w:rsid w:val="00566D7E"/>
    <w:rsid w:val="0057188F"/>
    <w:rsid w:val="00572906"/>
    <w:rsid w:val="0057682C"/>
    <w:rsid w:val="00584B1A"/>
    <w:rsid w:val="005C64F3"/>
    <w:rsid w:val="005D33A9"/>
    <w:rsid w:val="00602990"/>
    <w:rsid w:val="006066AA"/>
    <w:rsid w:val="0062070C"/>
    <w:rsid w:val="006B0D91"/>
    <w:rsid w:val="006B5183"/>
    <w:rsid w:val="006B51C1"/>
    <w:rsid w:val="006B6D42"/>
    <w:rsid w:val="00737B42"/>
    <w:rsid w:val="00740B28"/>
    <w:rsid w:val="00742586"/>
    <w:rsid w:val="00765915"/>
    <w:rsid w:val="007675DB"/>
    <w:rsid w:val="00792BC9"/>
    <w:rsid w:val="008121E7"/>
    <w:rsid w:val="00812BCC"/>
    <w:rsid w:val="00816A17"/>
    <w:rsid w:val="00832156"/>
    <w:rsid w:val="00856A6E"/>
    <w:rsid w:val="00895D64"/>
    <w:rsid w:val="008F0A23"/>
    <w:rsid w:val="00921414"/>
    <w:rsid w:val="00961928"/>
    <w:rsid w:val="009810E0"/>
    <w:rsid w:val="00990DA3"/>
    <w:rsid w:val="009933D0"/>
    <w:rsid w:val="009A22AB"/>
    <w:rsid w:val="009B354E"/>
    <w:rsid w:val="009C658D"/>
    <w:rsid w:val="009D1DB5"/>
    <w:rsid w:val="00A36A51"/>
    <w:rsid w:val="00AB64B2"/>
    <w:rsid w:val="00AB6EE7"/>
    <w:rsid w:val="00AD5297"/>
    <w:rsid w:val="00AE532C"/>
    <w:rsid w:val="00B361ED"/>
    <w:rsid w:val="00B42E04"/>
    <w:rsid w:val="00B57B6D"/>
    <w:rsid w:val="00BC4728"/>
    <w:rsid w:val="00BD7E19"/>
    <w:rsid w:val="00BF2381"/>
    <w:rsid w:val="00C311F0"/>
    <w:rsid w:val="00C4551F"/>
    <w:rsid w:val="00C46283"/>
    <w:rsid w:val="00C609CA"/>
    <w:rsid w:val="00C60E42"/>
    <w:rsid w:val="00C72727"/>
    <w:rsid w:val="00CA0E1A"/>
    <w:rsid w:val="00CA44F1"/>
    <w:rsid w:val="00CB6771"/>
    <w:rsid w:val="00CE210F"/>
    <w:rsid w:val="00CF2704"/>
    <w:rsid w:val="00D07B03"/>
    <w:rsid w:val="00D14EA6"/>
    <w:rsid w:val="00D41A3A"/>
    <w:rsid w:val="00D41C91"/>
    <w:rsid w:val="00D41CDD"/>
    <w:rsid w:val="00D44E69"/>
    <w:rsid w:val="00D453F7"/>
    <w:rsid w:val="00D45636"/>
    <w:rsid w:val="00D638D2"/>
    <w:rsid w:val="00D87FC2"/>
    <w:rsid w:val="00D94461"/>
    <w:rsid w:val="00DB77A4"/>
    <w:rsid w:val="00DE2FB3"/>
    <w:rsid w:val="00DE6D4F"/>
    <w:rsid w:val="00DF450D"/>
    <w:rsid w:val="00E028EF"/>
    <w:rsid w:val="00E135C4"/>
    <w:rsid w:val="00E2592F"/>
    <w:rsid w:val="00E3764F"/>
    <w:rsid w:val="00E5661E"/>
    <w:rsid w:val="00E77C9F"/>
    <w:rsid w:val="00EB7E7F"/>
    <w:rsid w:val="00ED1ACA"/>
    <w:rsid w:val="00EE6333"/>
    <w:rsid w:val="00F0247F"/>
    <w:rsid w:val="00F04196"/>
    <w:rsid w:val="00F8691D"/>
    <w:rsid w:val="00F9389A"/>
    <w:rsid w:val="00FB4F1E"/>
    <w:rsid w:val="00FC1869"/>
    <w:rsid w:val="00FC6661"/>
    <w:rsid w:val="00FF33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 Id="rId17"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ChinaPlus. China-Kompetenz für Fortgeschrittene [25/19a-26]</dc:title>
  <dc:subject/>
  <dc:creator>Tengiz Dalalishvili, MA mult. 
Jochen Schultz (CNBW)
 - Landeszentrale für politische Bildung</dc:creator>
  <cp:keywords>25/19a-26 - ChinaPlus. China-Kompetenz für Fortgeschrittene, Haus auf der Alb, Bad Urach, 08. bis 10.05.2026 ###HADA### </cp:keywords>
  <dc:description/>
  <cp:lastModifiedBy>Christoph Runkel</cp:lastModifiedBy>
  <cp:revision>4</cp:revision>
  <dcterms:created xsi:type="dcterms:W3CDTF">2026-03-05T08:49:00Z</dcterms:created>
  <dcterms:modified xsi:type="dcterms:W3CDTF">2026-03-12T11:19:00Z</dcterms:modified>
</cp:coreProperties>
</file>